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E8FC" w14:textId="77777777" w:rsidR="004C7913" w:rsidRDefault="004C7913" w:rsidP="004C7913">
      <w:r w:rsidRPr="004C7913">
        <w:t xml:space="preserve">This table summarizes key </w:t>
      </w:r>
      <w:r w:rsidRPr="004C7913">
        <w:rPr>
          <w:b/>
          <w:bCs/>
        </w:rPr>
        <w:t>fiscal indicators, political responses, and trade signals</w:t>
      </w:r>
      <w:r w:rsidRPr="004C7913">
        <w:t xml:space="preserve"> for major APEC economies, illustrating how economic policy and geopolitics are intertwining:</w:t>
      </w:r>
    </w:p>
    <w:p w14:paraId="31CCF86A" w14:textId="77777777" w:rsidR="004C7913" w:rsidRDefault="004C7913" w:rsidP="004C79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2899"/>
        <w:gridCol w:w="2390"/>
        <w:gridCol w:w="2384"/>
      </w:tblGrid>
      <w:tr w:rsidR="004C7913" w:rsidRPr="004C7913" w14:paraId="2370780C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31A5315F" w14:textId="572F21E3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Economy</w:t>
            </w:r>
          </w:p>
        </w:tc>
        <w:tc>
          <w:tcPr>
            <w:tcW w:w="2899" w:type="dxa"/>
            <w:vAlign w:val="center"/>
          </w:tcPr>
          <w:p w14:paraId="2963E9F2" w14:textId="4633F574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Fiscal Indicator (Deficit &amp; Debt)</w:t>
            </w:r>
          </w:p>
        </w:tc>
        <w:tc>
          <w:tcPr>
            <w:tcW w:w="2390" w:type="dxa"/>
            <w:vAlign w:val="center"/>
          </w:tcPr>
          <w:p w14:paraId="7912B9FC" w14:textId="525C43DF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Political Response</w:t>
            </w:r>
          </w:p>
        </w:tc>
        <w:tc>
          <w:tcPr>
            <w:tcW w:w="2384" w:type="dxa"/>
            <w:vAlign w:val="center"/>
          </w:tcPr>
          <w:p w14:paraId="5E75E6EA" w14:textId="38A4AEF5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Trade Signal</w:t>
            </w:r>
          </w:p>
        </w:tc>
      </w:tr>
      <w:tr w:rsidR="004C7913" w:rsidRPr="004C7913" w14:paraId="0257EE02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3C74D36C" w14:textId="0252632D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United States</w:t>
            </w:r>
          </w:p>
        </w:tc>
        <w:tc>
          <w:tcPr>
            <w:tcW w:w="2899" w:type="dxa"/>
            <w:vAlign w:val="center"/>
          </w:tcPr>
          <w:p w14:paraId="68DFB7D4" w14:textId="5DC2E388" w:rsidR="004C7913" w:rsidRPr="004C7913" w:rsidRDefault="004C7913" w:rsidP="004C7913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7.5%</w:t>
            </w:r>
            <w:r w:rsidRPr="004C7913">
              <w:rPr>
                <w:sz w:val="18"/>
                <w:szCs w:val="18"/>
              </w:rPr>
              <w:t xml:space="preserve"> of GDP deficit (FY2023); Debt ~123% of GD</w:t>
            </w:r>
          </w:p>
        </w:tc>
        <w:tc>
          <w:tcPr>
            <w:tcW w:w="2390" w:type="dxa"/>
            <w:vAlign w:val="center"/>
          </w:tcPr>
          <w:p w14:paraId="699C1D39" w14:textId="3E6EDFA3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Contentious budgeting; Fitch AA+ </w:t>
            </w:r>
            <w:r w:rsidRPr="004C7913">
              <w:rPr>
                <w:b/>
                <w:bCs/>
                <w:sz w:val="18"/>
                <w:szCs w:val="18"/>
              </w:rPr>
              <w:t>downgrade</w:t>
            </w:r>
            <w:r w:rsidRPr="004C7913">
              <w:rPr>
                <w:sz w:val="18"/>
                <w:szCs w:val="18"/>
              </w:rPr>
              <w:t xml:space="preserve"> cites “deteriorating finances”. </w:t>
            </w:r>
            <w:r w:rsidR="005159BD">
              <w:rPr>
                <w:sz w:val="18"/>
                <w:szCs w:val="18"/>
              </w:rPr>
              <w:t xml:space="preserve">A bipartisan deal postponed the </w:t>
            </w:r>
            <w:r w:rsidRPr="004C7913">
              <w:rPr>
                <w:sz w:val="18"/>
                <w:szCs w:val="18"/>
              </w:rPr>
              <w:t>debt ceiling to 2025.</w:t>
            </w:r>
          </w:p>
        </w:tc>
        <w:tc>
          <w:tcPr>
            <w:tcW w:w="2384" w:type="dxa"/>
            <w:vAlign w:val="center"/>
          </w:tcPr>
          <w:p w14:paraId="19D5DB09" w14:textId="519A6A51" w:rsidR="004C7913" w:rsidRDefault="005159BD" w:rsidP="004C7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Tariff relief on consumer goods should be considered </w:t>
            </w:r>
            <w:r w:rsidR="004C7913" w:rsidRPr="004C7913">
              <w:rPr>
                <w:sz w:val="18"/>
                <w:szCs w:val="18"/>
              </w:rPr>
              <w:t xml:space="preserve">to curb inflation. </w:t>
            </w:r>
            <w:r>
              <w:rPr>
                <w:sz w:val="18"/>
                <w:szCs w:val="18"/>
              </w:rPr>
              <w:t xml:space="preserve">The Indo-Pacific trade framework (IPEF) should be pushed </w:t>
            </w:r>
            <w:r w:rsidR="004C7913" w:rsidRPr="004C7913">
              <w:rPr>
                <w:sz w:val="18"/>
                <w:szCs w:val="18"/>
              </w:rPr>
              <w:t>instead of new FTAs.</w:t>
            </w:r>
          </w:p>
          <w:p w14:paraId="251A126A" w14:textId="6813E376" w:rsidR="004C7913" w:rsidRPr="004C7913" w:rsidRDefault="004C7913" w:rsidP="004C7913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4C7913" w:rsidRPr="004C7913" w14:paraId="03DA6E4E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51BF8BDE" w14:textId="6DC65BE8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China</w:t>
            </w:r>
          </w:p>
        </w:tc>
        <w:tc>
          <w:tcPr>
            <w:tcW w:w="2899" w:type="dxa"/>
            <w:vAlign w:val="center"/>
          </w:tcPr>
          <w:p w14:paraId="3C65A7C1" w14:textId="03DE4B43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Official deficit ~3%, but </w:t>
            </w:r>
            <w:r w:rsidRPr="004C7913">
              <w:rPr>
                <w:b/>
                <w:bCs/>
                <w:sz w:val="18"/>
                <w:szCs w:val="18"/>
              </w:rPr>
              <w:t>augmented ~6–8%</w:t>
            </w:r>
            <w:r w:rsidRPr="004C7913">
              <w:rPr>
                <w:sz w:val="18"/>
                <w:szCs w:val="18"/>
              </w:rPr>
              <w:t>; General debt ~70% GDP(w/ local hidden debt ~48% GDP).</w:t>
            </w:r>
          </w:p>
        </w:tc>
        <w:tc>
          <w:tcPr>
            <w:tcW w:w="2390" w:type="dxa"/>
            <w:vAlign w:val="center"/>
          </w:tcPr>
          <w:p w14:paraId="22E1645E" w14:textId="7CDCEFAB" w:rsidR="004C7913" w:rsidRPr="004C7913" w:rsidRDefault="005159BD" w:rsidP="004C7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government launched a ¥10 T debt swap for local governments to avoid a big stimulus. Some tax relief for businesses was provided. However, revenue slumps and deflation limited budget room</w:t>
            </w:r>
            <w:r w:rsidR="004C7913" w:rsidRPr="004C7913">
              <w:rPr>
                <w:sz w:val="18"/>
                <w:szCs w:val="18"/>
              </w:rPr>
              <w:t>.</w:t>
            </w:r>
          </w:p>
        </w:tc>
        <w:tc>
          <w:tcPr>
            <w:tcW w:w="2384" w:type="dxa"/>
            <w:vAlign w:val="center"/>
          </w:tcPr>
          <w:p w14:paraId="3BD4280A" w14:textId="44ABB568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Signaled openness to </w:t>
            </w:r>
            <w:r w:rsidRPr="004C7913">
              <w:rPr>
                <w:b/>
                <w:bCs/>
                <w:sz w:val="18"/>
                <w:szCs w:val="18"/>
              </w:rPr>
              <w:t>reciprocal tariff rollback</w:t>
            </w:r>
            <w:r w:rsidRPr="004C7913">
              <w:rPr>
                <w:sz w:val="18"/>
                <w:szCs w:val="18"/>
              </w:rPr>
              <w:t xml:space="preserve"> if </w:t>
            </w:r>
            <w:r w:rsidR="005159BD">
              <w:rPr>
                <w:sz w:val="18"/>
                <w:szCs w:val="18"/>
              </w:rPr>
              <w:t xml:space="preserve">the </w:t>
            </w:r>
            <w:r w:rsidRPr="004C7913">
              <w:rPr>
                <w:sz w:val="18"/>
                <w:szCs w:val="18"/>
              </w:rPr>
              <w:t>U.S. eases Section 301. Accelerating RCEP trade implementation and courting Global South markets to offset U.S. decoupling.</w:t>
            </w:r>
          </w:p>
        </w:tc>
      </w:tr>
      <w:tr w:rsidR="004C7913" w:rsidRPr="004C7913" w14:paraId="5E237832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127D066D" w14:textId="11C70882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Japan</w:t>
            </w:r>
          </w:p>
        </w:tc>
        <w:tc>
          <w:tcPr>
            <w:tcW w:w="2899" w:type="dxa"/>
            <w:vAlign w:val="center"/>
          </w:tcPr>
          <w:p w14:paraId="616C2FBB" w14:textId="6659D9D6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Deficit ~3% GDP (FY2023); </w:t>
            </w:r>
            <w:r w:rsidRPr="004C7913">
              <w:rPr>
                <w:b/>
                <w:bCs/>
                <w:sz w:val="18"/>
                <w:szCs w:val="18"/>
              </w:rPr>
              <w:t>Debt ~250%</w:t>
            </w:r>
            <w:r w:rsidRPr="004C7913">
              <w:rPr>
                <w:sz w:val="18"/>
                <w:szCs w:val="18"/>
              </w:rPr>
              <w:t xml:space="preserve"> of GDP (highest in APEC).</w:t>
            </w:r>
          </w:p>
        </w:tc>
        <w:tc>
          <w:tcPr>
            <w:tcW w:w="2390" w:type="dxa"/>
            <w:vAlign w:val="center"/>
          </w:tcPr>
          <w:p w14:paraId="0E6FF240" w14:textId="2006E1DA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Delayed fiscal tightening; modest tax hikes planned. BOJ tweaking YCC (yield cap) – implies higher </w:t>
            </w:r>
            <w:r w:rsidRPr="004C7913">
              <w:rPr>
                <w:b/>
                <w:bCs/>
                <w:sz w:val="18"/>
                <w:szCs w:val="18"/>
              </w:rPr>
              <w:t>interest costs</w:t>
            </w:r>
            <w:r w:rsidRPr="004C7913">
              <w:rPr>
                <w:sz w:val="18"/>
                <w:szCs w:val="18"/>
              </w:rPr>
              <w:t xml:space="preserve"> ahead. Long-term concern over aging costs.</w:t>
            </w:r>
          </w:p>
        </w:tc>
        <w:tc>
          <w:tcPr>
            <w:tcW w:w="2384" w:type="dxa"/>
            <w:vAlign w:val="center"/>
          </w:tcPr>
          <w:p w14:paraId="77AD4881" w14:textId="2DDE25ED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Championing </w:t>
            </w:r>
            <w:r w:rsidRPr="004C7913">
              <w:rPr>
                <w:b/>
                <w:bCs/>
                <w:sz w:val="18"/>
                <w:szCs w:val="18"/>
              </w:rPr>
              <w:t>trade liberalization</w:t>
            </w:r>
            <w:r w:rsidRPr="004C7913">
              <w:rPr>
                <w:sz w:val="18"/>
                <w:szCs w:val="18"/>
              </w:rPr>
              <w:t xml:space="preserve"> (CPTPP, digital trade rules). Stays out of tariff wars; seeks stable US–China ties as it navigates tech export controls (semiconductors to China).</w:t>
            </w:r>
          </w:p>
        </w:tc>
      </w:tr>
      <w:tr w:rsidR="004C7913" w:rsidRPr="004C7913" w14:paraId="0E2B7D24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524F4C9F" w14:textId="356C9868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Canada</w:t>
            </w:r>
          </w:p>
        </w:tc>
        <w:tc>
          <w:tcPr>
            <w:tcW w:w="2899" w:type="dxa"/>
            <w:vAlign w:val="center"/>
          </w:tcPr>
          <w:p w14:paraId="473B5F41" w14:textId="1019EEEC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>Deficit ~1.4% GDP (2023); Debt ~104% GDP (general govt).</w:t>
            </w:r>
          </w:p>
        </w:tc>
        <w:tc>
          <w:tcPr>
            <w:tcW w:w="2390" w:type="dxa"/>
            <w:vAlign w:val="center"/>
          </w:tcPr>
          <w:p w14:paraId="4BC2253E" w14:textId="481FF1C4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Pledged gradual deficit reduction by 2028. </w:t>
            </w:r>
            <w:r w:rsidR="005159BD">
              <w:rPr>
                <w:sz w:val="18"/>
                <w:szCs w:val="18"/>
              </w:rPr>
              <w:t xml:space="preserve">The </w:t>
            </w:r>
            <w:r w:rsidRPr="004C7913">
              <w:rPr>
                <w:sz w:val="18"/>
                <w:szCs w:val="18"/>
              </w:rPr>
              <w:t xml:space="preserve">Central Bank halted QE, </w:t>
            </w:r>
            <w:r w:rsidR="005159BD">
              <w:rPr>
                <w:sz w:val="18"/>
                <w:szCs w:val="18"/>
              </w:rPr>
              <w:t>pressuring</w:t>
            </w:r>
            <w:r w:rsidRPr="004C7913">
              <w:rPr>
                <w:sz w:val="18"/>
                <w:szCs w:val="18"/>
              </w:rPr>
              <w:t xml:space="preserve"> </w:t>
            </w:r>
            <w:r w:rsidR="005159BD">
              <w:rPr>
                <w:rFonts w:hint="eastAsia"/>
                <w:sz w:val="18"/>
                <w:szCs w:val="18"/>
              </w:rPr>
              <w:t>the government</w:t>
            </w:r>
            <w:r w:rsidRPr="004C7913">
              <w:rPr>
                <w:sz w:val="18"/>
                <w:szCs w:val="18"/>
              </w:rPr>
              <w:t xml:space="preserve"> to be prudent. Political debate linking government spending to </w:t>
            </w:r>
            <w:r w:rsidRPr="004C7913">
              <w:rPr>
                <w:b/>
                <w:bCs/>
                <w:sz w:val="18"/>
                <w:szCs w:val="18"/>
              </w:rPr>
              <w:t>inflation</w:t>
            </w:r>
            <w:r w:rsidRPr="004C7913">
              <w:rPr>
                <w:sz w:val="18"/>
                <w:szCs w:val="18"/>
              </w:rPr>
              <w:t>.</w:t>
            </w:r>
          </w:p>
        </w:tc>
        <w:tc>
          <w:tcPr>
            <w:tcW w:w="2384" w:type="dxa"/>
            <w:vAlign w:val="center"/>
          </w:tcPr>
          <w:p w14:paraId="721B9330" w14:textId="04784139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Strong USMCA partner – stable </w:t>
            </w:r>
            <w:r w:rsidRPr="004C7913">
              <w:rPr>
                <w:b/>
                <w:bCs/>
                <w:sz w:val="18"/>
                <w:szCs w:val="18"/>
              </w:rPr>
              <w:t>North American trade</w:t>
            </w:r>
            <w:r w:rsidRPr="004C7913">
              <w:rPr>
                <w:sz w:val="18"/>
                <w:szCs w:val="18"/>
              </w:rPr>
              <w:t>. Advocating WTO reform and opposing U.S. protectionism (fought to exempt Canada from U.S. metal tariffs). Benefits from higher commodity prices in trade.</w:t>
            </w:r>
          </w:p>
        </w:tc>
      </w:tr>
      <w:tr w:rsidR="004C7913" w:rsidRPr="004C7913" w14:paraId="44EAC9F7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437E8403" w14:textId="7E52E7D0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899" w:type="dxa"/>
            <w:vAlign w:val="center"/>
          </w:tcPr>
          <w:p w14:paraId="679B42F3" w14:textId="1DA07E0C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Surplus</w:t>
            </w:r>
            <w:r w:rsidRPr="004C7913">
              <w:rPr>
                <w:sz w:val="18"/>
                <w:szCs w:val="18"/>
              </w:rPr>
              <w:t xml:space="preserve"> 0.6% GDP (2023/24); Debt ~49% GDP (low).</w:t>
            </w:r>
          </w:p>
        </w:tc>
        <w:tc>
          <w:tcPr>
            <w:tcW w:w="2390" w:type="dxa"/>
            <w:vAlign w:val="center"/>
          </w:tcPr>
          <w:p w14:paraId="4A6458A4" w14:textId="08C64477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>Prioritized fiscal restraint to tame inflation. Saving commodity windfalls</w:t>
            </w:r>
            <w:r w:rsidR="005159BD" w:rsidRPr="004C7913">
              <w:rPr>
                <w:sz w:val="18"/>
                <w:szCs w:val="18"/>
              </w:rPr>
              <w:t>,</w:t>
            </w:r>
            <w:r w:rsidRPr="004C7913">
              <w:rPr>
                <w:sz w:val="18"/>
                <w:szCs w:val="18"/>
              </w:rPr>
              <w:t xml:space="preserve"> planning modest deficits for infrastructure and defense.</w:t>
            </w:r>
          </w:p>
        </w:tc>
        <w:tc>
          <w:tcPr>
            <w:tcW w:w="2384" w:type="dxa"/>
            <w:vAlign w:val="center"/>
          </w:tcPr>
          <w:p w14:paraId="06A968CB" w14:textId="61E62505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Reset with China</w:t>
            </w:r>
            <w:r w:rsidRPr="004C7913">
              <w:rPr>
                <w:sz w:val="18"/>
                <w:szCs w:val="18"/>
              </w:rPr>
              <w:t xml:space="preserve"> – trade bans lifted, boosting exports</w:t>
            </w:r>
            <w:r w:rsidR="005159BD">
              <w:rPr>
                <w:sz w:val="18"/>
                <w:szCs w:val="18"/>
              </w:rPr>
              <w:t xml:space="preserve"> and pursuing</w:t>
            </w:r>
            <w:r w:rsidRPr="004C7913">
              <w:rPr>
                <w:sz w:val="18"/>
                <w:szCs w:val="18"/>
              </w:rPr>
              <w:t xml:space="preserve"> UK and India trade deals. Supports </w:t>
            </w:r>
            <w:r w:rsidRPr="004C7913">
              <w:rPr>
                <w:b/>
                <w:bCs/>
                <w:sz w:val="18"/>
                <w:szCs w:val="18"/>
              </w:rPr>
              <w:t>tariff peace</w:t>
            </w:r>
            <w:r w:rsidRPr="004C7913">
              <w:rPr>
                <w:sz w:val="18"/>
                <w:szCs w:val="18"/>
              </w:rPr>
              <w:t xml:space="preserve"> – as a middle power, Australia advocates open markets and stability in Asia-Pacific trade.</w:t>
            </w:r>
          </w:p>
        </w:tc>
      </w:tr>
      <w:tr w:rsidR="004C7913" w:rsidRPr="004C7913" w14:paraId="188CB2CC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0CFD8F52" w14:textId="68B3FBF2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South Korea</w:t>
            </w:r>
          </w:p>
        </w:tc>
        <w:tc>
          <w:tcPr>
            <w:tcW w:w="2899" w:type="dxa"/>
            <w:vAlign w:val="center"/>
          </w:tcPr>
          <w:p w14:paraId="76700518" w14:textId="7883C413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>Deficit ~2.6% GDP (2023); Debt ~50% GDP.</w:t>
            </w:r>
          </w:p>
        </w:tc>
        <w:tc>
          <w:tcPr>
            <w:tcW w:w="2390" w:type="dxa"/>
            <w:vAlign w:val="center"/>
          </w:tcPr>
          <w:p w14:paraId="42804E6C" w14:textId="0FC3C5EA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Fiscal rule</w:t>
            </w:r>
            <w:r w:rsidRPr="004C7913">
              <w:rPr>
                <w:sz w:val="18"/>
                <w:szCs w:val="18"/>
              </w:rPr>
              <w:t xml:space="preserve"> legislation underway (cap deficits ≤3% GDP). 2024 budget growth </w:t>
            </w:r>
            <w:r w:rsidR="005159BD">
              <w:rPr>
                <w:sz w:val="18"/>
                <w:szCs w:val="18"/>
              </w:rPr>
              <w:t xml:space="preserve">is </w:t>
            </w:r>
            <w:r w:rsidRPr="004C7913">
              <w:rPr>
                <w:sz w:val="18"/>
                <w:szCs w:val="18"/>
              </w:rPr>
              <w:t>minimal (+2.8%) despite social demands</w:t>
            </w:r>
            <w:r w:rsidR="005159BD">
              <w:rPr>
                <w:sz w:val="18"/>
                <w:szCs w:val="18"/>
              </w:rPr>
              <w:t>—emphasis</w:t>
            </w:r>
            <w:r w:rsidRPr="004C7913">
              <w:rPr>
                <w:sz w:val="18"/>
                <w:szCs w:val="18"/>
              </w:rPr>
              <w:t xml:space="preserve"> on private-sector-led growth.</w:t>
            </w:r>
          </w:p>
        </w:tc>
        <w:tc>
          <w:tcPr>
            <w:tcW w:w="2384" w:type="dxa"/>
            <w:vAlign w:val="center"/>
          </w:tcPr>
          <w:p w14:paraId="4F4D63DE" w14:textId="2438A727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Deeply integrated in global value chains – pushing for </w:t>
            </w:r>
            <w:r w:rsidRPr="004C7913">
              <w:rPr>
                <w:b/>
                <w:bCs/>
                <w:sz w:val="18"/>
                <w:szCs w:val="18"/>
              </w:rPr>
              <w:t>supply chain resilience</w:t>
            </w:r>
            <w:r w:rsidRPr="004C7913">
              <w:rPr>
                <w:sz w:val="18"/>
                <w:szCs w:val="18"/>
              </w:rPr>
              <w:t xml:space="preserve"> and joining </w:t>
            </w:r>
            <w:r w:rsidR="005159BD">
              <w:rPr>
                <w:sz w:val="18"/>
                <w:szCs w:val="18"/>
              </w:rPr>
              <w:t xml:space="preserve">the </w:t>
            </w:r>
            <w:r w:rsidRPr="004C7913">
              <w:rPr>
                <w:sz w:val="18"/>
                <w:szCs w:val="18"/>
              </w:rPr>
              <w:t xml:space="preserve">U.S. “Chip 4” alliance. Hopes for reduced U.S.–China tension to stabilize export demand </w:t>
            </w:r>
            <w:r w:rsidRPr="004C7913">
              <w:rPr>
                <w:sz w:val="18"/>
                <w:szCs w:val="18"/>
              </w:rPr>
              <w:lastRenderedPageBreak/>
              <w:t>(especially chips, EV batteries).</w:t>
            </w:r>
          </w:p>
        </w:tc>
      </w:tr>
      <w:tr w:rsidR="004C7913" w:rsidRPr="004C7913" w14:paraId="09623600" w14:textId="77777777" w:rsidTr="004C7913">
        <w:trPr>
          <w:trHeight w:val="329"/>
        </w:trPr>
        <w:tc>
          <w:tcPr>
            <w:tcW w:w="1231" w:type="dxa"/>
            <w:vAlign w:val="center"/>
          </w:tcPr>
          <w:p w14:paraId="22DB0B3C" w14:textId="17BE547A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lastRenderedPageBreak/>
              <w:t>Mexico</w:t>
            </w:r>
          </w:p>
        </w:tc>
        <w:tc>
          <w:tcPr>
            <w:tcW w:w="2899" w:type="dxa"/>
            <w:vAlign w:val="center"/>
          </w:tcPr>
          <w:p w14:paraId="484AB944" w14:textId="6B92E2EB" w:rsidR="004C7913" w:rsidRPr="004C7913" w:rsidRDefault="004C7913" w:rsidP="004C7913">
            <w:pPr>
              <w:rPr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Deficit ~3.3% GDP (2023), rising to </w:t>
            </w:r>
            <w:r w:rsidRPr="004C7913">
              <w:rPr>
                <w:b/>
                <w:bCs/>
                <w:sz w:val="18"/>
                <w:szCs w:val="18"/>
              </w:rPr>
              <w:t>4.9%</w:t>
            </w:r>
            <w:r w:rsidRPr="004C7913">
              <w:rPr>
                <w:sz w:val="18"/>
                <w:szCs w:val="18"/>
              </w:rPr>
              <w:t xml:space="preserve"> in </w:t>
            </w:r>
            <w:r w:rsidR="005159BD">
              <w:rPr>
                <w:sz w:val="18"/>
                <w:szCs w:val="18"/>
              </w:rPr>
              <w:t xml:space="preserve">the </w:t>
            </w:r>
            <w:r w:rsidRPr="004C7913">
              <w:rPr>
                <w:sz w:val="18"/>
                <w:szCs w:val="18"/>
              </w:rPr>
              <w:t>2024 plan; Debt ~60% GDP.</w:t>
            </w:r>
          </w:p>
        </w:tc>
        <w:tc>
          <w:tcPr>
            <w:tcW w:w="2390" w:type="dxa"/>
            <w:vAlign w:val="center"/>
          </w:tcPr>
          <w:p w14:paraId="75B22F94" w14:textId="703676DA" w:rsidR="004C7913" w:rsidRPr="004C7913" w:rsidRDefault="004C7913" w:rsidP="004C7913">
            <w:pPr>
              <w:rPr>
                <w:b/>
                <w:bCs/>
                <w:sz w:val="18"/>
                <w:szCs w:val="18"/>
              </w:rPr>
            </w:pPr>
            <w:r w:rsidRPr="004C7913">
              <w:rPr>
                <w:sz w:val="18"/>
                <w:szCs w:val="18"/>
              </w:rPr>
              <w:t xml:space="preserve">Pre-election </w:t>
            </w:r>
            <w:r w:rsidRPr="004C7913">
              <w:rPr>
                <w:b/>
                <w:bCs/>
                <w:sz w:val="18"/>
                <w:szCs w:val="18"/>
              </w:rPr>
              <w:t>spending surge</w:t>
            </w:r>
            <w:r w:rsidRPr="004C7913">
              <w:rPr>
                <w:sz w:val="18"/>
                <w:szCs w:val="18"/>
              </w:rPr>
              <w:t xml:space="preserve"> on infrastructure &amp; welfare. </w:t>
            </w:r>
            <w:r w:rsidR="005159BD">
              <w:rPr>
                <w:sz w:val="18"/>
                <w:szCs w:val="18"/>
              </w:rPr>
              <w:t>The next administration will likely</w:t>
            </w:r>
            <w:r w:rsidRPr="004C7913">
              <w:rPr>
                <w:sz w:val="18"/>
                <w:szCs w:val="18"/>
              </w:rPr>
              <w:t xml:space="preserve"> seek greater tax revenues to </w:t>
            </w:r>
            <w:r w:rsidR="005159BD">
              <w:rPr>
                <w:sz w:val="18"/>
                <w:szCs w:val="18"/>
              </w:rPr>
              <w:t>restore</w:t>
            </w:r>
            <w:r w:rsidRPr="004C7913">
              <w:rPr>
                <w:sz w:val="18"/>
                <w:szCs w:val="18"/>
              </w:rPr>
              <w:t xml:space="preserve"> fiscal credibility.</w:t>
            </w:r>
          </w:p>
        </w:tc>
        <w:tc>
          <w:tcPr>
            <w:tcW w:w="2384" w:type="dxa"/>
            <w:vAlign w:val="center"/>
          </w:tcPr>
          <w:p w14:paraId="4FD844B7" w14:textId="70991130" w:rsidR="004C7913" w:rsidRPr="004C7913" w:rsidRDefault="004C7913" w:rsidP="004C7913">
            <w:pPr>
              <w:rPr>
                <w:rFonts w:hint="eastAsia"/>
                <w:sz w:val="18"/>
                <w:szCs w:val="18"/>
              </w:rPr>
            </w:pPr>
            <w:r w:rsidRPr="004C7913">
              <w:rPr>
                <w:b/>
                <w:bCs/>
                <w:sz w:val="18"/>
                <w:szCs w:val="18"/>
              </w:rPr>
              <w:t>Nearshoring boom</w:t>
            </w:r>
            <w:r w:rsidRPr="004C7913">
              <w:rPr>
                <w:sz w:val="18"/>
                <w:szCs w:val="18"/>
              </w:rPr>
              <w:t xml:space="preserve"> as firms relocate from China</w:t>
            </w:r>
            <w:r w:rsidR="005159BD">
              <w:rPr>
                <w:sz w:val="18"/>
                <w:szCs w:val="18"/>
              </w:rPr>
              <w:t>,</w:t>
            </w:r>
            <w:r w:rsidRPr="004C7913">
              <w:rPr>
                <w:sz w:val="18"/>
                <w:szCs w:val="18"/>
              </w:rPr>
              <w:t xml:space="preserve"> Mexico gains investment and jobs. Strongly backs USMCA enforcement. Lower U.S.–China tariffs could slightly reduce nearshoring urgency, but Mexico’s position in U.S. supply chains is </w:t>
            </w:r>
            <w:r w:rsidR="005159BD" w:rsidRPr="005159BD">
              <w:rPr>
                <w:sz w:val="18"/>
                <w:szCs w:val="18"/>
              </w:rPr>
              <w:t>solidified</w:t>
            </w:r>
            <w:r w:rsidR="005159BD">
              <w:rPr>
                <w:rFonts w:hint="eastAsia"/>
                <w:sz w:val="18"/>
                <w:szCs w:val="18"/>
              </w:rPr>
              <w:t>.</w:t>
            </w:r>
          </w:p>
        </w:tc>
      </w:tr>
    </w:tbl>
    <w:p w14:paraId="602CAF16" w14:textId="77777777" w:rsidR="004C7913" w:rsidRDefault="004C7913" w:rsidP="004C7913"/>
    <w:sectPr w:rsidR="004C79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2E49" w14:textId="77777777" w:rsidR="006F212F" w:rsidRDefault="006F212F" w:rsidP="000D7AB8">
      <w:r>
        <w:separator/>
      </w:r>
    </w:p>
  </w:endnote>
  <w:endnote w:type="continuationSeparator" w:id="0">
    <w:p w14:paraId="560617FD" w14:textId="77777777" w:rsidR="006F212F" w:rsidRDefault="006F212F" w:rsidP="000D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1909" w14:textId="77777777" w:rsidR="006F212F" w:rsidRDefault="006F212F" w:rsidP="000D7AB8">
      <w:r>
        <w:separator/>
      </w:r>
    </w:p>
  </w:footnote>
  <w:footnote w:type="continuationSeparator" w:id="0">
    <w:p w14:paraId="6716E560" w14:textId="77777777" w:rsidR="006F212F" w:rsidRDefault="006F212F" w:rsidP="000D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739B" w14:textId="0E106472" w:rsidR="000D7AB8" w:rsidRDefault="000D7AB8" w:rsidP="000D7AB8">
    <w:pPr>
      <w:pStyle w:val="Header"/>
      <w:jc w:val="center"/>
    </w:pPr>
    <w:r>
      <w:rPr>
        <w:noProof/>
      </w:rPr>
      <w:drawing>
        <wp:inline distT="0" distB="0" distL="0" distR="0" wp14:anchorId="25EA3385" wp14:editId="24C74172">
          <wp:extent cx="4206240" cy="1071782"/>
          <wp:effectExtent l="0" t="0" r="3810" b="0"/>
          <wp:docPr id="162880512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05125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9839" cy="108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9A19D6" w14:textId="77777777" w:rsidR="000D7AB8" w:rsidRDefault="000D7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EA"/>
    <w:rsid w:val="000D7AB8"/>
    <w:rsid w:val="00294AE4"/>
    <w:rsid w:val="0029695D"/>
    <w:rsid w:val="00446ACA"/>
    <w:rsid w:val="004C7913"/>
    <w:rsid w:val="005159BD"/>
    <w:rsid w:val="005C4AFF"/>
    <w:rsid w:val="006349EA"/>
    <w:rsid w:val="006F212F"/>
    <w:rsid w:val="00986ADD"/>
    <w:rsid w:val="009E3275"/>
    <w:rsid w:val="00F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5B487"/>
  <w15:chartTrackingRefBased/>
  <w15:docId w15:val="{067F7D4B-5F91-441C-96F4-E264D51E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9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9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AB8"/>
  </w:style>
  <w:style w:type="paragraph" w:styleId="Footer">
    <w:name w:val="footer"/>
    <w:basedOn w:val="Normal"/>
    <w:link w:val="FooterChar"/>
    <w:uiPriority w:val="99"/>
    <w:unhideWhenUsed/>
    <w:rsid w:val="000D7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AB8"/>
  </w:style>
  <w:style w:type="character" w:styleId="Hyperlink">
    <w:name w:val="Hyperlink"/>
    <w:basedOn w:val="DefaultParagraphFont"/>
    <w:uiPriority w:val="99"/>
    <w:unhideWhenUsed/>
    <w:rsid w:val="004C79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9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2751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Xiuli Chen</dc:creator>
  <cp:keywords/>
  <dc:description/>
  <cp:lastModifiedBy>Xiuli Chen</cp:lastModifiedBy>
  <cp:revision>3</cp:revision>
  <dcterms:created xsi:type="dcterms:W3CDTF">2025-05-12T17:03:00Z</dcterms:created>
  <dcterms:modified xsi:type="dcterms:W3CDTF">2025-05-12T17:19:00Z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fbfa68c1-786c-4cf6-a643-efac7030f643</vt:lpwstr>
  </property>
</Properties>
</file>